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32" w:rsidRDefault="00597932" w:rsidP="005979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შუა ბრინჯაოს ხანის განვითარებული, 2  ეტაპი - დაკრძალვის წესი წალკისა და ზურტაკეტის, კახეთისა და მესხეთის ყორღანების მიხედვით.ყორღანთა კონსტრუქცია და დაკრძალვის რიტუალი.</w:t>
      </w:r>
    </w:p>
    <w:p w:rsidR="00597932" w:rsidRDefault="00597932" w:rsidP="005979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თრიალეთის კულტურის სეზონური (საზაფხულო) ნამოსახლარები კახეთში.</w:t>
      </w:r>
    </w:p>
    <w:p w:rsidR="00597932" w:rsidRDefault="00597932" w:rsidP="005979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  შესაბამისი ლექციის მონაცემებში.</w:t>
      </w:r>
    </w:p>
    <w:p w:rsidR="00597932" w:rsidRDefault="00597932" w:rsidP="0059793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597932" w:rsidRDefault="00597932" w:rsidP="005979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ე.გოგაძე, 1972: 38-39ლ 47-49</w:t>
      </w:r>
    </w:p>
    <w:p w:rsidR="00A12EF2" w:rsidRPr="00A12EF2" w:rsidRDefault="00A12EF2" w:rsidP="005979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გ, ნარიმანიშვილი, სიახლენი თრიალეთის კულტურაში, 2009: 28-67</w:t>
      </w:r>
      <w:bookmarkStart w:id="0" w:name="_GoBack"/>
      <w:bookmarkEnd w:id="0"/>
    </w:p>
    <w:p w:rsidR="00597932" w:rsidRDefault="00597932" w:rsidP="005979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ო.ჯაფარიძე, 2003: 156-183</w:t>
      </w:r>
    </w:p>
    <w:p w:rsidR="00597932" w:rsidRDefault="00597932" w:rsidP="005979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ო.ჯაფარიძე, 1969: 14-79;</w:t>
      </w:r>
    </w:p>
    <w:p w:rsidR="00597932" w:rsidRPr="00A12EF2" w:rsidRDefault="00597932" w:rsidP="005979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ო.ლორთქიფანიძე, 2002: 90-</w:t>
      </w:r>
      <w:r w:rsidRPr="00A12EF2">
        <w:rPr>
          <w:rFonts w:ascii="Sylfaen" w:hAnsi="Sylfaen"/>
          <w:lang w:val="ka-GE"/>
        </w:rPr>
        <w:t>101</w:t>
      </w:r>
    </w:p>
    <w:p w:rsidR="00597932" w:rsidRDefault="00597932" w:rsidP="00597932">
      <w:pPr>
        <w:rPr>
          <w:rFonts w:ascii="Sylfaen" w:hAnsi="Sylfaen"/>
        </w:rPr>
      </w:pPr>
      <w:r w:rsidRPr="00A12EF2">
        <w:rPr>
          <w:rFonts w:ascii="Sylfaen" w:hAnsi="Sylfaen"/>
          <w:lang w:val="ka-GE"/>
        </w:rPr>
        <w:t>M.Puturidze, Social and Economic Shifts in Middle Bronze Age South Caucas</w:t>
      </w:r>
      <w:r>
        <w:rPr>
          <w:rFonts w:ascii="Sylfaen" w:hAnsi="Sylfaen"/>
        </w:rPr>
        <w:t xml:space="preserve">us. </w:t>
      </w:r>
      <w:proofErr w:type="gramStart"/>
      <w:r>
        <w:rPr>
          <w:rFonts w:ascii="Sylfaen" w:hAnsi="Sylfaen"/>
        </w:rPr>
        <w:t>in</w:t>
      </w:r>
      <w:proofErr w:type="gramEnd"/>
      <w:r>
        <w:rPr>
          <w:rFonts w:ascii="Sylfaen" w:hAnsi="Sylfaen"/>
        </w:rPr>
        <w:t xml:space="preserve">: Borderlands in Archaeology, 2003: 111-127 </w:t>
      </w:r>
    </w:p>
    <w:p w:rsidR="00597932" w:rsidRDefault="00597932" w:rsidP="00597932">
      <w:pPr>
        <w:rPr>
          <w:b/>
        </w:rPr>
      </w:pPr>
      <w:r>
        <w:rPr>
          <w:rFonts w:ascii="Sylfaen" w:hAnsi="Sylfaen"/>
          <w:b/>
          <w:lang w:val="ka-GE"/>
        </w:rPr>
        <w:t>და სხვა იხ.: სილაბუსში.</w:t>
      </w:r>
    </w:p>
    <w:p w:rsidR="00971406" w:rsidRDefault="00597932">
      <w:r>
        <w:t xml:space="preserve">       </w:t>
      </w:r>
    </w:p>
    <w:sectPr w:rsidR="009714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FD"/>
    <w:rsid w:val="00597932"/>
    <w:rsid w:val="00971406"/>
    <w:rsid w:val="00A12EF2"/>
    <w:rsid w:val="00B8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60940-C7F1-417C-A1B6-C8C74683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93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3</cp:revision>
  <dcterms:created xsi:type="dcterms:W3CDTF">2021-02-22T15:30:00Z</dcterms:created>
  <dcterms:modified xsi:type="dcterms:W3CDTF">2021-02-22T16:54:00Z</dcterms:modified>
</cp:coreProperties>
</file>